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Кейсы | Высшее образование | Радиология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Радиология | Записей: 2</w:t>
      </w:r>
    </w:p>
    <w:p>
      <w:r>
        <w:br w:type="page"/>
      </w:r>
    </w:p>
    <w:p>
      <w:pPr>
        <w:pStyle w:val="Heading1"/>
      </w:pPr>
      <w:r>
        <w:t>Радиология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Радиология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Пациент, 59 лет наблюдается в городском онкодиспансере по поводу рака правого легкого. После анализа очередной КТ органов грудной клетки онколог заподозрил вторичное поражение костной системы. Пациент направлен на дообследование с целью подтвердить вторичное поражение костей и установить распространенность процесса.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момент осмотра не предъявляет.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2 года назад при прохождении диспансеризации было заподозрено образование в корне правого легкого. При дообследовании на КТ было подтверждено новообразование. +</w:t>
        <w:br/>
        <w:t>Операция: удаление нижней доли правого легкого. +</w:t>
        <w:br/>
        <w:t>Гистология: аденокарцинома, поражение 1 лимфоузла. Назначены курсы адъювантной химиотерапии и лучевой терапии на область средостения. +</w:t>
        <w:br/>
        <w:t>КТ органов грудной клетки 1 год назад: патологических образований, увеличенных лимфоузлов, вторичного поражения костей не выявлено. +</w:t>
        <w:br/>
        <w:t>КТ 2 недели назад: остеобластические очаги в 5, 6, 8, 9, 10 грудных позвонках, наиболее вероятно, метастатического генеза.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Хронические заболевания отрицает;</w:t>
      </w:r>
    </w:p>
    <w:p>
      <w:pPr>
        <w:spacing w:after="58"/>
      </w:pPr>
      <w:r>
        <w:rPr>
          <w:b w:val="0"/>
          <w:i w:val="0"/>
        </w:rPr>
        <w:t>* Курение с 16 лет;</w:t>
      </w:r>
    </w:p>
    <w:p>
      <w:pPr>
        <w:spacing w:after="58"/>
      </w:pPr>
      <w:r>
        <w:rPr>
          <w:b w:val="0"/>
          <w:i w:val="0"/>
        </w:rPr>
        <w:t>* Профессиональных вредностей не имел;</w:t>
      </w:r>
    </w:p>
    <w:p>
      <w:pPr>
        <w:spacing w:after="58"/>
      </w:pPr>
      <w:r>
        <w:rPr>
          <w:b w:val="0"/>
          <w:i w:val="0"/>
        </w:rPr>
        <w:t>* Аллергических реакций не было.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удовлетворительное, температура тела 36,7°С. Кожные покровы обычной окраски. Артериальное давление 135/85. Периферических отеков нет. Дыхание везикулярное, ЧДД 15 в 1 мин.</w:t>
      </w:r>
    </w:p>
    <w:p>
      <w:pPr>
        <w:pStyle w:val="Heading2"/>
      </w:pPr>
      <w:r>
        <w:t>2. Изображения 1, 2</w:t>
      </w:r>
    </w:p>
    <w:p>
      <w:r>
        <w:drawing>
          <wp:inline xmlns:a="http://schemas.openxmlformats.org/drawingml/2006/main" xmlns:pic="http://schemas.openxmlformats.org/drawingml/2006/picture">
            <wp:extent cx="5303520" cy="3330117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19cae0a5a66018979ad94bcee03192a9357fabe2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33011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Снимок.JPG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Пациенту выполнена (Изображения 1, 2)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УЗ-допплерография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рентгенография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магнитно-резонансная томография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сцинтиграфия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сцинтиграфия</w:t>
      </w:r>
    </w:p>
    <w:p>
      <w:pPr>
        <w:ind w:left="504"/>
      </w:pPr>
      <w:r>
        <w:rPr>
          <w:b w:val="0"/>
          <w:i/>
        </w:rPr>
        <w:t>Cцинтиграммы способны отражать физиологические и патофизиологические изменения, происходящие в организме. Это достигается за счет использования радиофармпрепаратов, способных накапливаться в определенных морфологических структурах или отражать динамику протекающих в органе физиологических или биохимических процессов.</w:t>
        <w:br/>
        <w:br/>
        <w:t>Национальное руководство по радионуклидной диагностике / под ред. Ю.Б. Лишманова, В.И. Чернова. – Томск: STT, 2010., Т. 1, стр. 10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Пациенту выполнена сцинтиграфия (Изображения 1,2)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всего тела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костей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многопозиционная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полиорганная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костей</w:t>
      </w:r>
    </w:p>
    <w:p>
      <w:pPr>
        <w:ind w:left="504"/>
      </w:pPr>
      <w:r>
        <w:rPr>
          <w:b w:val="0"/>
          <w:i/>
        </w:rPr>
        <w:t>Благодаря своей высокой чувствительности, остеосцинтиграфия (сцинтиграфия костей) наиболее часто используется для выявления метастазов злокачественных опухолей в кости.</w:t>
        <w:br/>
        <w:br/>
        <w:t>Национальное руководство по радионуклидной диагностике / под ред. Ю.Б. Лишманова, В.И. Чернова. – Томск: STT, 2010., Т. 2, стр. 256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Для сцинтиграфии костей используется 99mTc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октреотид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пертехнетат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пирфотех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МЙБГ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пирфотех</w:t>
      </w:r>
    </w:p>
    <w:p>
      <w:pPr>
        <w:ind w:left="504"/>
      </w:pPr>
      <w:r>
        <w:rPr>
          <w:b w:val="0"/>
          <w:i/>
        </w:rPr>
        <w:t>В настоящее время в мировой радиологической практике нашли применение следующие дифосфонатные комплексы 99mТс: 99mТс-гидроксиэтилена дифосфонат, 99mТс-метилена дифосфонат и 99mТс-гидроксиметилена дифосфонат. В России для сцинтиграфии костей чаще всего используют 99mТс-полиметиленфосфонат (коммерческое название–99mТс-пирфотех).</w:t>
        <w:br/>
        <w:br/>
        <w:t>Национальное руководство по радионуклидной диагностике / под ред. Ю.Б. Лишманова, В.И. Чернова. – Томск: STT, 2010., Т. 2, стр. 253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После введения радиофармпрепарата начинать сканирование рекомендуется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через 24 часа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через 2 часа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непосредственно после введения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через 30 минут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через 2 часа</w:t>
      </w:r>
    </w:p>
    <w:p>
      <w:pPr>
        <w:ind w:left="504"/>
      </w:pPr>
      <w:r>
        <w:rPr>
          <w:b w:val="0"/>
          <w:i/>
        </w:rPr>
        <w:t>Третья фаза – статическое исследование костей скелета, при котором сцинтиграммы получают через 2–3 ч после инъекции РФП.</w:t>
        <w:br/>
        <w:br/>
        <w:t>Национальное руководство по радионуклидной диагностике / под ред. Ю.Б. Лишманова, В.И. Чернова. – Томск: STT, 2010., Т. 2, стр. 253</w:t>
      </w:r>
    </w:p>
    <w:p>
      <w:pPr>
        <w:pStyle w:val="Heading2"/>
      </w:pPr>
      <w:r>
        <w:t>7. Изображения 3,4</w:t>
      </w:r>
    </w:p>
    <w:p>
      <w:r>
        <w:drawing>
          <wp:inline xmlns:a="http://schemas.openxmlformats.org/drawingml/2006/main" xmlns:pic="http://schemas.openxmlformats.org/drawingml/2006/picture">
            <wp:extent cx="5303520" cy="3335698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027235ca4501b3efcef277e500b48cec5a331318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335698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Изображения 3,4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Очаг гиперфиксации радиофармпрепарата, указанный стрелкой (изображения 3,4), локализуется 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передней ости левой подвздошной кости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правой бедренной кости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левом крестцово-подвздошном сочленении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правой вертлужной впадине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правой бедренной кости</w:t>
      </w:r>
    </w:p>
    <w:p>
      <w:pPr>
        <w:ind w:left="504"/>
      </w:pPr>
      <w:r>
        <w:rPr>
          <w:b w:val="0"/>
          <w:i/>
        </w:rPr>
        <w:t>На данном изображении стрелкой указана правая бедренная кость</w:t>
        <w:br/>
        <w:br/>
        <w:t>Рис. 81. Анатомия человека / под редакцией М.Р. Сапина. – 5-е изд, М.: Медицина. 2001. Т.1 стр. 188</w:t>
      </w:r>
    </w:p>
    <w:p>
      <w:pPr>
        <w:pStyle w:val="Heading2"/>
      </w:pPr>
      <w:r>
        <w:t>9. Изображения 5,6</w:t>
      </w:r>
    </w:p>
    <w:p>
      <w:r>
        <w:drawing>
          <wp:inline xmlns:a="http://schemas.openxmlformats.org/drawingml/2006/main" xmlns:pic="http://schemas.openxmlformats.org/drawingml/2006/picture">
            <wp:extent cx="5303520" cy="3312960"/>
            <wp:docPr id="3" name="Picture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51b1923a433d7b266168acc094fdbe488a13c679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31296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Изображения 5,6</w:t>
      </w:r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Стрелкой указано поражение (Изображения 5,6)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нижнего угла левой лопатки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левой ключицы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левой плечевой кости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правого плечевого сустава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левой плечевой кости</w:t>
      </w:r>
    </w:p>
    <w:p>
      <w:pPr>
        <w:ind w:left="504"/>
      </w:pPr>
      <w:r>
        <w:rPr>
          <w:b w:val="0"/>
          <w:i/>
        </w:rPr>
        <w:t>На данном изображении стрелкой указана левая плечевая кость</w:t>
        <w:br/>
        <w:br/>
        <w:t>Рис. 75. Анатомия человека / под редакцией М.Р. Сапина. – 5-е изд, М.: Медицина. 2001. Т.1 стр. 178</w:t>
      </w:r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На изображениях 1,2 можно предположить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метастатическое поражение позвоночника и костей таза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субтотальное поражение ребер, позвоночника и костей таза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субтотальное поражение позвоночника, ребер, костей таза, плечевых и бедренных костей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вариант нормы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субтотальное поражение позвоночника, ребер, костей таза, плечевых и бедренных костей</w:t>
      </w:r>
    </w:p>
    <w:p>
      <w:pPr>
        <w:ind w:left="504"/>
      </w:pPr>
      <w:r>
        <w:rPr>
          <w:b w:val="0"/>
          <w:i/>
        </w:rPr>
        <w:t>Метастазы злокачественных опухолей в кости обычно сопровождаются повышением остеобластической активности и визуализируются как зоны повышенного накопления РФП.</w:t>
        <w:br/>
        <w:br/>
        <w:t>Национальное руководство по радионуклидной диагностике / под ред. Ю.Б. Лишманова, В.И. Чернова. – Томск: STT, 2010, Т. 2, стр. 256</w:t>
      </w:r>
    </w:p>
    <w:p>
      <w:pPr>
        <w:pStyle w:val="Heading2"/>
      </w:pPr>
      <w:r>
        <w:t>2. Вариатив</w:t>
      </w:r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Одиночная область гиперфиксации радиофармпрепарата в ребре при отсутствии других очагов гиперфиксации, наиболее вероятно, соответствует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ревматоидному артриту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остеомиелиту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перелому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метастазу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перелому</w:t>
      </w:r>
    </w:p>
    <w:p>
      <w:pPr>
        <w:ind w:left="504"/>
      </w:pPr>
      <w:r>
        <w:rPr>
          <w:b w:val="0"/>
          <w:i/>
        </w:rPr>
        <w:t>Одиночные области повышенной аккумуляции РФП в кости, обнаруженные у пациентов с ранее выявленной опухолью, оказываются метастазами в 50% случаев. При локализации такого очага в ребрах злокачественность поражения отмечается лишь у 10–17% обследованных больных. Основными причинами выявления одиночных очагов повышенного накопления индикатора в ребрах могут явиться переломы последних.</w:t>
        <w:br/>
        <w:br/>
        <w:t>Национальное руководство по радионуклидной диагностике / под ред. Ю.Б. Лишманова, В.И. Чернова. – Томск: STT, 2010., Т. 2, стр. 256</w:t>
      </w:r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99mTc-пирфотех связывается с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остеокластами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макрофагами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кальцием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кристаллами гидроксиапатита и незрелым коллагеном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кристаллами гидроксиапатита и незрелым коллагеном</w:t>
      </w:r>
    </w:p>
    <w:p>
      <w:pPr>
        <w:ind w:left="504"/>
      </w:pPr>
      <w:r>
        <w:rPr>
          <w:b w:val="0"/>
          <w:i/>
        </w:rPr>
        <w:t>В костной ткани соединения 99mТс связываются с кристаллами гидроксиапатита и незрелым коллагеном.</w:t>
        <w:br/>
        <w:br/>
        <w:t>Национальное руководство по радионуклидной диагностике / под ред. Ю.Б. Лишманова, В.И. Чернова. – Томск: STT, 2010, Т. 2, стр. 252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Контрольную сцинтиграфию костей после системной лучевой терапии следует выполнять не ранее, чем через _____ мес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3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9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6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6</w:t>
      </w:r>
    </w:p>
    <w:p>
      <w:pPr>
        <w:ind w:left="504"/>
      </w:pPr>
      <w:r>
        <w:rPr>
          <w:b w:val="0"/>
          <w:i/>
        </w:rPr>
        <w:t>Из-за некоторой общности сцинтиграфической картины “феномена вспышки” и прогрессирования патологического процесса радионуклидное исследование следует выполнять не ранее чем через 6 мес. после начала лечения.</w:t>
        <w:br/>
        <w:br/>
        <w:t>Национальное руководство по радионуклидной диагностике / под ред. Ю.Б. Лишманова, В.И. Чернова. – Томск: STT, 2010, Т. 2, стр. 259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Причиной ложноположительного результата при анализе сцинтиграммы скелета может являться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пожилой возраст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неправильная укладка пациента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сниженная функция почек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недостаточная гидратация пациента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неправильная укладка пациента</w:t>
      </w:r>
    </w:p>
    <w:p>
      <w:pPr>
        <w:ind w:left="504"/>
      </w:pPr>
      <w:r>
        <w:rPr>
          <w:b w:val="0"/>
          <w:i/>
        </w:rPr>
        <w:t>Ложноположительные результаты сцинтиграфии костей могут быть получены по следующим причинам: неправильная укладка пациента, задержка мочи в почечных чашечках, загрязнение одежды пациента радиоактивной мочой, “экранирующий” эффект аксессуаров одежды и украшений, протезы молочной железы, заболевания зубов и их протезы, синуситы.</w:t>
        <w:br/>
        <w:br/>
        <w:t>Национальное руководство по радионуклидной диагностике / под ред. Ю.Б. Лишманова, В.И. Чернова. – Томск: STT, 2010., Т. 2, стр. 255</w:t>
      </w:r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Период полураспада 99mTc составляет +_____+ часов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6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5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8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6</w:t>
      </w:r>
    </w:p>
    <w:p>
      <w:pPr>
        <w:ind w:left="504"/>
      </w:pPr>
      <w:r>
        <w:rPr>
          <w:b w:val="0"/>
          <w:i/>
        </w:rPr>
        <w:t>87% среднеживущего нерастворимого 99MoO42– посредством β-распада превращается в водорастворимый 99mTcO42–, период полураспада которого составляет 6 ч.</w:t>
        <w:br/>
        <w:br/>
        <w:t>Национальное руководство по радионуклидной диагностике / под ред. Ю.Б. Лишманова, В.И. Чернова. – Томск: STT, 2010., Т. 1, стр. 16</w:t>
      </w:r>
    </w:p>
    <w:p>
      <w:pPr>
        <w:sectPr>
          <w:pgSz w:w="12240" w:h="15840"/>
          <w:pgMar w:top="1008" w:right="1008" w:bottom="1008" w:left="1008" w:header="720" w:footer="720" w:gutter="0"/>
          <w:cols w:space="720"/>
          <w:docGrid w:linePitch="360"/>
        </w:sectPr>
      </w:pPr>
    </w:p>
    <w:p>
      <w:pPr>
        <w:pStyle w:val="Heading1"/>
      </w:pPr>
      <w:r>
        <w:t>Радиология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Радиология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Пациентка 62 лет направлена на исследование печени и желчевыводящих путей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Боли в правом подреберье.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Биохимический анализ крови: Альфа-Амилаза 119,4 Ед/л; билирубин общий 12,7 мкмоль/л; АСТ 53,0 Ед/л; АЛТ 26,6 Ед/л; щелочная фосфатаза 156,6 Ед/л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Перенесенные заболевания: саркома матки – удаление матки и левого яичника в 2003г – менопауза. Аденома паращитовидной железы. Гиперпаратиреоз.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Артериальная гипертензия, риск 2. Нарушения ритма сердца: пароксизмальная форма фибрилляции предсердий.</w:t>
      </w:r>
    </w:p>
    <w:p>
      <w:pPr>
        <w:pStyle w:val="Heading2"/>
      </w:pPr>
      <w:r>
        <w:t>2. Слайд 1</w:t>
      </w:r>
    </w:p>
    <w:p>
      <w:r/>
    </w:p>
    <w:p>
      <w:r>
        <w:drawing>
          <wp:inline xmlns:a="http://schemas.openxmlformats.org/drawingml/2006/main" xmlns:pic="http://schemas.openxmlformats.org/drawingml/2006/picture">
            <wp:extent cx="5303520" cy="1345208"/>
            <wp:docPr id="4" name="Picture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9f52432f59f6a4b0a3e7282478dce05776f9c2c2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1345208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Слайд 1</w:t>
      </w:r>
    </w:p>
    <w:p>
      <w:pPr>
        <w:pStyle w:val="Heading2"/>
      </w:pPr>
      <w:r>
        <w:t>1. Методика исследования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Представленное изображение (Слайд 1) относится к исследованию типа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ОФЭКТ/КТ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ОФЭКТ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сцинтиграфия статическая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сцинтиграфия динамическая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сцинтиграфия динамическая</w:t>
      </w:r>
    </w:p>
    <w:p>
      <w:pPr>
        <w:ind w:left="504"/>
      </w:pPr>
      <w:r>
        <w:rPr>
          <w:b w:val="0"/>
          <w:i/>
        </w:rPr>
        <w:t>В клинической практике применяют следующие виды радионуклид- ных исследований:</w:t>
        <w:br/>
        <w:br/>
        <w:t>1) динамическая сцинтиграфия,</w:t>
        <w:br/>
        <w:br/>
        <w:t>2) прицельная сцинтиграфия,</w:t>
        <w:br/>
        <w:br/>
        <w:t>3) планарная сцинтиграфия в режиме «всего тела»,</w:t>
        <w:br/>
        <w:br/>
        <w:t>4) однофотонная эмиссионная компьютерная томография и</w:t>
        <w:br/>
        <w:br/>
        <w:t>5) одно- фотонная эмиссионная компьютерная томография, совмещённая с рентгеновской компьютерной томографией.</w:t>
        <w:br/>
        <w:br/>
        <w:t>Стандарты УЗИ, РКТ, МРТ, ОФЭКТ, ПЭТ/КТ и АГ исследований в онкологии. под редакцией: Б.И. Долгушина и И.Е. Тюрина/ ФГБУ «Национальный медицинский исследовательский центр онкологии имени Н.Н. Блохина» Министерства здравоохранения Российской Федерации, Общество интервенционных онкорадиологов России - Москва 2018, с.163 (с.111).</w:t>
        <w:br/>
        <w:br/>
        <w:t>Динамическая сцинтиграфия почек в настоящее время является наиболее распространенным методом радионуклидного исследования мочевыводящей системы… Метод основан на динамической регистрации радиоактивности в почках и крови после внутривенного введения нефротропного РФП, выводимого почками, и компьютерной обработке получаемых изображений.</w:t>
        <w:br/>
        <w:br/>
        <w:t>Национальное руководство по радионуклидной диагностике под редакцией Ю.Б. Лишманова, В.И. Чернова. - Том. 2. г.Томск 2010г. (с.198).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Для радионуклидного исследования гепатобилиарной системы применяется отечественный радиофармпрепарат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99mTc-бромезида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99mTc- Технемек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99mTc-технефит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99mTc- Технетрил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99mTc-бромезида</w:t>
      </w:r>
    </w:p>
    <w:p>
      <w:pPr>
        <w:ind w:left="504"/>
      </w:pPr>
      <w:r>
        <w:rPr>
          <w:b w:val="0"/>
          <w:i/>
        </w:rPr>
        <w:t>Наиболее оптимальными фармакологическими параметрами (скорость транзита через гепатоциты, билиарная концентрация, скорость и объем почечной экскреции и др.) обладают: 99mTc-БРОМЕЗИДА или [2,4,6-триметил-3-бромфенил-карбамоилметил] иминодиуксусная кислота (“Диамед”, Россия); 99mTc-ДИДА – N[2,6-диэтил-фенил-карбамоилметил] иминодиуксусная кислота (SOLCO, Швейцария); 99mTc-ТИДА – N[2,4,5-триметил-фенил-карбамоилметил] иминодиуксусная кислота (“Hoechst”, Германия).</w:t>
        <w:br/>
        <w:br/>
        <w:t>Национальное руководство по радионуклидной диагностике под редакцией Ю.Б. Лишманова, В.И. Чернова. - Том. 2. г.Томск 2010г. (с.368).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При проведении исследования гепатобилиарной системы требуется предварительная подготовка в виде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голодания в течение не менее 4 часов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приема ингибиторов протонной помпы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употребления 1-1,5 литров воды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желчегонного завтрака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голодания в течение не менее 4 часов</w:t>
      </w:r>
    </w:p>
    <w:p>
      <w:pPr>
        <w:ind w:left="504"/>
      </w:pPr>
      <w:r>
        <w:rPr>
          <w:b w:val="0"/>
          <w:i/>
        </w:rPr>
        <w:t>Таблица 2.13.3.1. Подготовка пациента: Голодание перед исследованием в течение 4 ч и более.</w:t>
        <w:br/>
        <w:br/>
        <w:t>Национальное руководство по радионуклидной диагностике под редакцией Ю.Б. Лишманова, В.И. Чернова. - Том. 2. г.Томск 2010г. (с.369).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Желчегонный завтрак рекомендовано давать +______________+  исследования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перед началом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на 15-й минуте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на 60-й минуте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на 30-й минуте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на 60-й минуте</w:t>
      </w:r>
    </w:p>
    <w:p>
      <w:pPr>
        <w:ind w:left="504"/>
      </w:pPr>
      <w:r>
        <w:rPr>
          <w:b w:val="0"/>
          <w:i/>
        </w:rPr>
        <w:t>На 60-й мин производят стимуляцию опорожнения желчного пузыря.</w:t>
        <w:br/>
        <w:br/>
        <w:t>Национальное руководство по радионуклидной диагностике под редакцией Ю.Б. Лишманова, В.И. Чернова. - Том. 2. г.Томск 2010г. (с.369)</w:t>
      </w:r>
    </w:p>
    <w:p>
      <w:pPr>
        <w:pStyle w:val="Heading2"/>
      </w:pPr>
      <w:r>
        <w:t>2. Оценка результатов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Длительность латентного времени желчного пузыря это время от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начала визуализации желчного пузыря до начала его опорожнения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начала визуализации желчного пузыря до начала визуализации кишечника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начала стимуляции оттока желчи до начала опорожнения желчного пузыря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визуализации печени до начала визуализации желчного пузыря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начала стимуляции оттока желчи до начала опорожнения желчного пузыря</w:t>
      </w:r>
    </w:p>
    <w:p>
      <w:pPr>
        <w:ind w:left="504"/>
      </w:pPr>
      <w:r>
        <w:rPr>
          <w:b w:val="0"/>
          <w:i/>
        </w:rPr>
        <w:t>Длительность латентного времени (Тлат) – время от начала стимуляции желчеоттока до начала опорожнения желчного пузыря. Отражает скорость всасывания стимулирующих агентов в верхнем отделе пищеварительного тракта и реакцию на них желчного пузыря.</w:t>
        <w:br/>
        <w:br/>
        <w:t>Национальное руководство по радионуклидной диагностике под редакцией Ю.Б. Лишманова, В.И. Чернова. - Том. 2. г.Томск 2010г. (с.373)</w:t>
      </w:r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Время полувыведения радиофармпрепарата из печени в норме не более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60 минут от времени максимального накопления радиофармпрепарата над печенью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35 минут от начала исследования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60 минут от начала исследования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35 минут от времени максимального накопления радиофармпрепарата над печенью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35 минут от начала исследования</w:t>
      </w:r>
    </w:p>
    <w:p>
      <w:pPr>
        <w:ind w:left="504"/>
      </w:pPr>
      <w:r>
        <w:rPr>
          <w:b w:val="0"/>
          <w:i/>
        </w:rPr>
        <w:t>Время полувыведения РФП из печени (Т 1/2 ) у здорового человека не превышает 35 мин (показатель рассчитывается от начала исследования, а не от Тmах).</w:t>
        <w:br/>
        <w:br/>
        <w:t>НАЦИОНАЛЬНОЕ РУКОВОДСТВО ПО РАДИОНУКЛИДНОЙ ДИАГНОСТИКЕ под редакцией Ю.Б. Лишманова, В.И. Чернова. - Том. 2. г.Томск 2010г. (с.371)</w:t>
      </w:r>
    </w:p>
    <w:p>
      <w:pPr>
        <w:pStyle w:val="Heading2"/>
      </w:pPr>
      <w:r>
        <w:t>9. Слайд 2</w:t>
      </w:r>
    </w:p>
    <w:p>
      <w:r/>
    </w:p>
    <w:p>
      <w:r>
        <w:drawing>
          <wp:inline xmlns:a="http://schemas.openxmlformats.org/drawingml/2006/main" xmlns:pic="http://schemas.openxmlformats.org/drawingml/2006/picture">
            <wp:extent cx="5303520" cy="1948800"/>
            <wp:docPr id="5" name="Picture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d46d0bddf4be5bbb27dfcfb358bbb165c903eb0e.pn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19488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Слайд 2</w:t>
      </w:r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Представленные кривые (Слайд 2 ) «активность/время», получены из области каких органов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печени (1), желчного пузыря (2)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холедоха (1), кишечника (2)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сердца (1), холедоха (2)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сердца (1), кишечника (2)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печени (1), желчного пузыря (2)</w:t>
      </w:r>
    </w:p>
    <w:p>
      <w:pPr>
        <w:ind w:left="504"/>
      </w:pPr>
      <w:r>
        <w:rPr>
          <w:b w:val="0"/>
          <w:i/>
        </w:rPr>
        <w:t>Рисунки 2.13.3.7, 2.13.3.8.</w:t>
        <w:br/>
        <w:br/>
        <w:t>Национальное руководство по радионуклидной диагностике под редакцией Ю.Б. Лишманова, В.И. Чернова. - Том. 2. г.Томск 2010г. (с.372-373)</w:t>
      </w:r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Поступление первых небольших доз радиофармпрепарата в кишечник в норме наблюдается через _____ минут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5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40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10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30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10</w:t>
      </w:r>
    </w:p>
    <w:p>
      <w:pPr>
        <w:ind w:left="504"/>
      </w:pPr>
      <w:r>
        <w:rPr>
          <w:b w:val="0"/>
          <w:i/>
        </w:rPr>
        <w:t>Поступление первых небольших порций РФП в кишечник начинается с 10-й мин исследования. Это происходит за счет синхронизированных с кишечной перистальтикой сокращений сфинктеров.</w:t>
        <w:br/>
        <w:br/>
        <w:t>Национальное руководство по радионуклидной диагностике под редакцией Ю.Б. Лишманова, В.И. Чернова. - Том. 2. г.Томск 2010г. (с.371)</w:t>
      </w:r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Для корректного получения кривых «активность/время» печени строится зона интереса в проекции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всей печени за исключением основных желчевыводящих протоков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краевой области 7-го и части 8-го сегментов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всей печени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1-го и 3-го сегментов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краевой области 7-го и части 8-го сегментов</w:t>
      </w:r>
    </w:p>
    <w:p>
      <w:pPr>
        <w:ind w:left="504"/>
      </w:pPr>
      <w:r>
        <w:rPr>
          <w:b w:val="0"/>
          <w:i/>
        </w:rPr>
        <w:t>Для точного определения Тmах и Т 1/2 печени необходимо корректно выбрать зону интереса. В качестве таковой необходимо использовать узкую (в несколько пикселов) краевую область 7-го и части 8-го сегмента печени.</w:t>
        <w:br/>
        <w:br/>
        <w:t>Национальное руководство по радионуклидной диагностике под редакцией Ю.Б. Лишманова, В.И. Чернова. - Том. 2. г.Томск 2010г. (с.371).</w:t>
      </w:r>
    </w:p>
    <w:p>
      <w:pPr>
        <w:pStyle w:val="Heading2"/>
      </w:pPr>
      <w:r>
        <w:t>3. Вариатив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Двигательная функция желчного пузыря это -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снижение радиоактивности над областью желчного пузыря в процентах за 30 минут исследования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продолжительность сокращения желчного пузыря в ответ на стимуляцию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время от начала визуализации желчного пузыря до начала его опорожнения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процент поступление радиофармпрепарата из желчного пузыря в кишечник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снижение радиоактивности над областью желчного пузыря в процентах за 30 минут исследования</w:t>
      </w:r>
    </w:p>
    <w:p>
      <w:pPr>
        <w:ind w:left="504"/>
      </w:pPr>
      <w:r>
        <w:rPr>
          <w:b w:val="0"/>
          <w:i/>
        </w:rPr>
        <w:t>Двигательная функция желчного пузыря (ДФЖ) в норме характеризуется снижением радиоактивности над пузырной областью на 30–50% за 30 мин.</w:t>
        <w:br/>
        <w:br/>
        <w:t>Национальное руководство по радионуклидной диагностике под редакцией Ю.Б. Лишманова, В.И. Чернова. - Том. 2. г.Томск 2010г. (с.373).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Двигательная функция желчного пузыря в норме составляет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30 – 50 %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20 – 30 %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50 – 60%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60 – 70 %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30 – 50 %</w:t>
      </w:r>
    </w:p>
    <w:p>
      <w:pPr>
        <w:ind w:left="504"/>
      </w:pPr>
      <w:r>
        <w:rPr>
          <w:b w:val="0"/>
          <w:i/>
        </w:rPr>
        <w:t>Двигательная функция желчного пузыря (ДФЖ) в норме характеризуется снижением радиоактивности над пузырной областью на 30–50% за 30 мин.</w:t>
        <w:br/>
        <w:br/>
        <w:t>Национальное руководство по радионуклидной диагностике под редакцией Ю.Б. Лишманова, В.И. Чернова. - Том. 2. г.Томск 2010г. (с.373).</w:t>
      </w:r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В норме активное поступление радиофармпрепарата в кишечник с момента холекинетической стимуляции составляет +________+ минут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8 – 10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11 -15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16 - 20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5 – 7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5 – 7</w:t>
      </w:r>
    </w:p>
    <w:p>
      <w:pPr>
        <w:ind w:left="504"/>
      </w:pPr>
      <w:r>
        <w:rPr>
          <w:b w:val="0"/>
          <w:i/>
        </w:rPr>
        <w:t>Поступление первых небольших порций РФП в кишечник начинается с 10-й мин исследования. Это происходит за счет синхронизированных с кишечной перистальтикой сокращений сфинктеров. В течение 5–7 мин после холекинетической стимуляции (латентный период сфинктера Одди) индикатор начинает поступать в кишечник более интенсивно. К концу исследования “радиоактивность” в кишечнике значительно превышает таковую в желчных путях.</w:t>
        <w:br/>
        <w:br/>
        <w:t>Национальное руководство по радионуклидной диагностике под редакцией Ю.Б. Лишманова, В.И. Чернова. - Том. 2. г.Томск 2010г. (с.371).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jpg"/><Relationship Id="rId10" Type="http://schemas.openxmlformats.org/officeDocument/2006/relationships/image" Target="media/image2.png"/><Relationship Id="rId11" Type="http://schemas.openxmlformats.org/officeDocument/2006/relationships/image" Target="media/image3.png"/><Relationship Id="rId12" Type="http://schemas.openxmlformats.org/officeDocument/2006/relationships/image" Target="media/image4.png"/><Relationship Id="rId13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